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A1F65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大庆市人民医院</w:t>
      </w:r>
    </w:p>
    <w:p w14:paraId="1C153132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中药饮片代煎服务项目采购公告</w:t>
      </w:r>
    </w:p>
    <w:p w14:paraId="6B2E2331">
      <w:pPr>
        <w:spacing w:line="6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一、项目编号：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RMYY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yjk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2026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001</w:t>
      </w:r>
    </w:p>
    <w:p w14:paraId="5F469F41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二、项目名称：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大庆市人民医院中药饮片代煎服务项目</w:t>
      </w:r>
    </w:p>
    <w:p w14:paraId="31B60E3C">
      <w:pPr>
        <w:spacing w:line="6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项目预算：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4元/付(年度预计为5.9万付,服务期为三年，合同一年一签，续签不超过三年）</w:t>
      </w:r>
    </w:p>
    <w:p w14:paraId="407D3409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院内竞争性磋商</w:t>
      </w:r>
    </w:p>
    <w:p w14:paraId="63A7E509">
      <w:pPr>
        <w:spacing w:line="600" w:lineRule="exact"/>
        <w:jc w:val="lef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供应商资格要求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：</w:t>
      </w:r>
    </w:p>
    <w:p w14:paraId="0D7FBB48">
      <w:pPr>
        <w:adjustRightInd w:val="0"/>
        <w:snapToGrid w:val="0"/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（一）供应商应符合《中华人民共和国政府采购法》第二十二条规定：</w:t>
      </w:r>
    </w:p>
    <w:p w14:paraId="1240300B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1、必须具有独立承担民事责任的能力。</w:t>
      </w:r>
    </w:p>
    <w:p w14:paraId="295CE932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2、具有良好的商业信誉和健全的财务会计制度。</w:t>
      </w:r>
    </w:p>
    <w:p w14:paraId="46D5254D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3、具备履行合同所必需的设备和专业技术能力。</w:t>
      </w:r>
    </w:p>
    <w:p w14:paraId="4C76E459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4、有依法缴纳税收和社会保障资金的良好记录。</w:t>
      </w:r>
    </w:p>
    <w:p w14:paraId="033343D7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5、参加政府采购活动前三年内，在经营活动中没有重大违法记录。</w:t>
      </w:r>
    </w:p>
    <w:p w14:paraId="4F63C562">
      <w:pPr>
        <w:widowControl/>
        <w:spacing w:before="0" w:beforeAutospacing="0" w:after="0" w:afterAutospacing="0" w:line="390" w:lineRule="atLeast"/>
        <w:ind w:left="-360" w:leftChars="0" w:right="0" w:rightChars="0"/>
        <w:jc w:val="left"/>
        <w:rPr>
          <w:color w:val="auto"/>
          <w:sz w:val="28"/>
          <w:szCs w:val="28"/>
        </w:rPr>
      </w:pPr>
      <w:r>
        <w:rPr>
          <w:rFonts w:hint="eastAsia" w:ascii="Arial" w:hAnsi="Arial" w:cs="Arial"/>
          <w:color w:val="auto"/>
          <w:sz w:val="28"/>
          <w:szCs w:val="28"/>
        </w:rPr>
        <w:t xml:space="preserve">     6、法律、行政法规规定的其他条件。</w:t>
      </w:r>
    </w:p>
    <w:p w14:paraId="2B4472D5">
      <w:pPr>
        <w:adjustRightInd w:val="0"/>
        <w:snapToGrid w:val="0"/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（二）单位负责人为同一人或者存在控股、管理关系的不同单位，不得参加同一项目采购。</w:t>
      </w:r>
    </w:p>
    <w:p w14:paraId="0E1131D3">
      <w:pPr>
        <w:adjustRightInd w:val="0"/>
        <w:snapToGrid w:val="0"/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（三）本次采购不接受联合体投标。</w:t>
      </w:r>
    </w:p>
    <w:p w14:paraId="0E1131D4">
      <w:pPr>
        <w:adjustRightInd w:val="0"/>
        <w:snapToGrid w:val="0"/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（四）供应商应当为具备中药饮片煎煮条件和能力的机构，开展中药饮片煎煮应当依据《医疗机构中药煎药室管理规范》执行。</w:t>
      </w:r>
    </w:p>
    <w:p w14:paraId="0E1131D5">
      <w:pPr>
        <w:adjustRightInd w:val="0"/>
        <w:snapToGrid w:val="0"/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（五）供应商应当建立健全中药饮片代煎质量跟踪、追溯、监控体系，具备强化全过程质量控制管理的能力，能够对中药饮片代煎质量负直接责任，并承诺与医院签订中药饮片代煎质量保证协议。</w:t>
      </w:r>
    </w:p>
    <w:p w14:paraId="4414E121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、投标提供书面资料:</w:t>
      </w:r>
    </w:p>
    <w:tbl>
      <w:tblPr>
        <w:tblStyle w:val="7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96"/>
        <w:gridCol w:w="5359"/>
      </w:tblGrid>
      <w:tr w14:paraId="1A43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65" w:type="dxa"/>
            <w:shd w:val="clear" w:color="auto" w:fill="FFFFFF"/>
            <w:vAlign w:val="center"/>
          </w:tcPr>
          <w:p w14:paraId="7E273ADF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3296" w:type="dxa"/>
            <w:shd w:val="clear" w:color="auto" w:fill="FFFFFF"/>
            <w:vAlign w:val="center"/>
          </w:tcPr>
          <w:p w14:paraId="52B4D8A1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投标文件</w:t>
            </w:r>
          </w:p>
        </w:tc>
        <w:tc>
          <w:tcPr>
            <w:tcW w:w="5359" w:type="dxa"/>
            <w:shd w:val="clear" w:color="auto" w:fill="FFFFFF"/>
            <w:vAlign w:val="center"/>
          </w:tcPr>
          <w:p w14:paraId="20766C66">
            <w:pPr>
              <w:pStyle w:val="6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包含项目</w:t>
            </w:r>
          </w:p>
        </w:tc>
      </w:tr>
      <w:tr w14:paraId="7C3D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3B7B4D78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</w:t>
            </w:r>
          </w:p>
        </w:tc>
        <w:tc>
          <w:tcPr>
            <w:tcW w:w="3296" w:type="dxa"/>
            <w:vMerge w:val="restart"/>
            <w:shd w:val="clear" w:color="auto" w:fill="FFFFFF"/>
            <w:vAlign w:val="center"/>
          </w:tcPr>
          <w:p w14:paraId="493116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企业资质</w:t>
            </w:r>
          </w:p>
        </w:tc>
        <w:tc>
          <w:tcPr>
            <w:tcW w:w="5359" w:type="dxa"/>
            <w:shd w:val="clear" w:color="auto" w:fill="FFFFFF"/>
            <w:vAlign w:val="top"/>
          </w:tcPr>
          <w:p w14:paraId="5D1C8922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企业法人营业执照（或事业单位法人证书）</w:t>
            </w:r>
          </w:p>
        </w:tc>
      </w:tr>
      <w:tr w14:paraId="024D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44078F30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2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0118E2FB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4001614A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药品经营许可证或医疗机构执业许可证等相关资质证明</w:t>
            </w:r>
          </w:p>
        </w:tc>
      </w:tr>
      <w:tr w14:paraId="353F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0554A2E6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680FA6AE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29BB92A0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具备中药饮片煎煮条件和能力的证明材料（煎药场所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80平方米以上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、设施设备、人员配备等）</w:t>
            </w:r>
          </w:p>
        </w:tc>
      </w:tr>
      <w:tr w14:paraId="3366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30F75A07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436B6CAF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1E5F3F14">
            <w:pPr>
              <w:pStyle w:val="6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煎药机为国际ISO中药煎煮设备标准，煎煮能力可完成日处方量200张以上，冷链运输车配送真空包装中药汤剂</w:t>
            </w:r>
          </w:p>
        </w:tc>
      </w:tr>
      <w:tr w14:paraId="2CFF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0DC58F69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4</w:t>
            </w:r>
          </w:p>
        </w:tc>
        <w:tc>
          <w:tcPr>
            <w:tcW w:w="3296" w:type="dxa"/>
            <w:vMerge w:val="restart"/>
            <w:shd w:val="clear" w:color="auto" w:fill="FFFFFF"/>
            <w:vAlign w:val="center"/>
          </w:tcPr>
          <w:p w14:paraId="0B9ED6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质量保障</w:t>
            </w:r>
          </w:p>
        </w:tc>
        <w:tc>
          <w:tcPr>
            <w:tcW w:w="5359" w:type="dxa"/>
            <w:shd w:val="clear" w:color="auto" w:fill="FFFFFF"/>
            <w:vAlign w:val="top"/>
          </w:tcPr>
          <w:p w14:paraId="69CCED4F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中药饮片代煎质量跟踪、追溯、监控体系文件</w:t>
            </w:r>
          </w:p>
        </w:tc>
      </w:tr>
      <w:tr w14:paraId="34F3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083A6984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5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7FC4CD8A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45764D34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拟投入本项目的中药学专业技术人员名单及资质证明</w:t>
            </w:r>
          </w:p>
        </w:tc>
      </w:tr>
      <w:tr w14:paraId="0B95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1A881007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6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168F4904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046A5982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开户许可证</w:t>
            </w:r>
          </w:p>
        </w:tc>
      </w:tr>
      <w:tr w14:paraId="3DB7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35A72611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7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4A717022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7E75165A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法人代表授权书</w:t>
            </w:r>
          </w:p>
        </w:tc>
      </w:tr>
      <w:tr w14:paraId="640D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59CACC20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8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0C62840F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290CD2FE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法人代表身份证复印件</w:t>
            </w:r>
          </w:p>
        </w:tc>
      </w:tr>
      <w:tr w14:paraId="7E64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1A9BD02E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9</w:t>
            </w:r>
          </w:p>
        </w:tc>
        <w:tc>
          <w:tcPr>
            <w:tcW w:w="3296" w:type="dxa"/>
            <w:vMerge w:val="continue"/>
            <w:shd w:val="clear" w:color="auto" w:fill="FFFFFF"/>
            <w:vAlign w:val="top"/>
          </w:tcPr>
          <w:p w14:paraId="1F410805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FFFFFF"/>
            <w:vAlign w:val="top"/>
          </w:tcPr>
          <w:p w14:paraId="0B26C7B7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投标代表身份证复印件</w:t>
            </w:r>
          </w:p>
        </w:tc>
      </w:tr>
      <w:tr w14:paraId="4876E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1CB8FCA7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10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193869CD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服务报价明细：报价不能超过采购预算金额，超过预算金额视为无效报价</w:t>
            </w:r>
          </w:p>
        </w:tc>
      </w:tr>
      <w:tr w14:paraId="6A25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04BFED60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11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65E7820E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投标资料承诺书，保证投标资料真实性、有效性</w:t>
            </w:r>
          </w:p>
        </w:tc>
      </w:tr>
      <w:tr w14:paraId="6DA1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65" w:type="dxa"/>
            <w:shd w:val="clear" w:color="auto" w:fill="FFFFFF"/>
            <w:vAlign w:val="center"/>
          </w:tcPr>
          <w:p w14:paraId="4C4FCCD0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12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6857ADAE">
            <w:pPr>
              <w:pStyle w:val="6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中药饮片代煎质量保证协议（意向文本）及售后服务承诺书</w:t>
            </w:r>
          </w:p>
        </w:tc>
      </w:tr>
      <w:tr w14:paraId="4064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65" w:type="dxa"/>
            <w:shd w:val="clear" w:color="auto" w:fill="FFFFFF"/>
            <w:vAlign w:val="center"/>
          </w:tcPr>
          <w:p w14:paraId="02537784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13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684F5CC0">
            <w:pPr>
              <w:pStyle w:val="6"/>
              <w:spacing w:line="600" w:lineRule="exact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提供近三年内“信用中国网站”；“中国政府采购网”截图证明（本项目投标截止期前）</w:t>
            </w:r>
          </w:p>
        </w:tc>
      </w:tr>
      <w:tr w14:paraId="7679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565" w:type="dxa"/>
            <w:shd w:val="clear" w:color="auto" w:fill="FFFFFF"/>
            <w:vAlign w:val="center"/>
          </w:tcPr>
          <w:p w14:paraId="1EF8529F">
            <w:pPr>
              <w:pStyle w:val="6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14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2CE28F50">
            <w:pPr>
              <w:adjustRightInd w:val="0"/>
              <w:snapToGrid w:val="0"/>
              <w:spacing w:line="60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提供社保经办机构出具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本单位及投标代表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社会保障资金缴纳证明（基本医疗保险、基本养老保险、失业保险、工伤保险、生育保险），新成立的企业（三个月内成立的）或在法规范围内不需提供的机构，应提供书面说明和有关佐证文件</w:t>
            </w:r>
          </w:p>
        </w:tc>
      </w:tr>
      <w:tr w14:paraId="5E53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65" w:type="dxa"/>
            <w:shd w:val="clear" w:color="auto" w:fill="FFFFFF"/>
            <w:vAlign w:val="center"/>
          </w:tcPr>
          <w:p w14:paraId="7973D4FC">
            <w:pPr>
              <w:pStyle w:val="6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15</w:t>
            </w:r>
          </w:p>
        </w:tc>
        <w:tc>
          <w:tcPr>
            <w:tcW w:w="8655" w:type="dxa"/>
            <w:gridSpan w:val="2"/>
            <w:shd w:val="clear" w:color="auto" w:fill="FFFFFF"/>
            <w:vAlign w:val="top"/>
          </w:tcPr>
          <w:p w14:paraId="7EAC6645">
            <w:pPr>
              <w:adjustRightInd w:val="0"/>
              <w:snapToGrid w:val="0"/>
              <w:spacing w:line="6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供应商承诺函</w:t>
            </w:r>
          </w:p>
        </w:tc>
      </w:tr>
    </w:tbl>
    <w:p w14:paraId="167CF320">
      <w:pPr>
        <w:pStyle w:val="5"/>
        <w:widowControl/>
        <w:spacing w:before="0" w:beforeAutospacing="0" w:after="0" w:afterAutospacing="0" w:line="315" w:lineRule="atLeast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说明：以上报名文件要求按顺序装订、字迹清晰、全部加盖公章。</w:t>
      </w:r>
    </w:p>
    <w:p w14:paraId="78846634">
      <w:pPr>
        <w:pStyle w:val="5"/>
        <w:widowControl/>
        <w:spacing w:before="0" w:beforeAutospacing="0" w:after="0" w:afterAutospacing="0" w:line="315" w:lineRule="atLeast"/>
        <w:jc w:val="both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特别提示：“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社保经办机构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”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是指：《社会保险经办条例》（中华人民共和国国务院令第765号）第六十条中"社会保险经办机构"，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即人力资源社会保障行政部门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所属的经办基本养老保险、工伤保险、失业保险等社会保险的机构和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医疗保障行政部门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所属的经办基本医疗保险、生育保险等社会保险的机构。</w:t>
      </w:r>
    </w:p>
    <w:p w14:paraId="1AF96302">
      <w:pPr>
        <w:pStyle w:val="5"/>
        <w:widowControl/>
        <w:spacing w:before="0" w:beforeAutospacing="0" w:after="0" w:afterAutospacing="0" w:line="315" w:lineRule="atLeast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税务部门出具的佐证文件（如完税证明）不作为有效资格条件。</w:t>
      </w:r>
    </w:p>
    <w:p w14:paraId="1D9640A8">
      <w:pPr>
        <w:pStyle w:val="6"/>
        <w:ind w:left="0" w:leftChars="0" w:firstLine="0" w:firstLineChars="0"/>
        <w:rPr>
          <w:rFonts w:hint="default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、服务内容及要求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评分细则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：见附件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1、2。</w:t>
      </w:r>
    </w:p>
    <w:p w14:paraId="2CD6A7C5">
      <w:pPr>
        <w:pStyle w:val="6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、投标文件格式</w:t>
      </w:r>
    </w:p>
    <w:p w14:paraId="5254A3F8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（一）标书要求：一本正本、三本副本均加盖公章，装订方式为胶装，密封。</w:t>
      </w:r>
    </w:p>
    <w:p w14:paraId="07B31A78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（二）参与两项或以上采购项目投标的需各项目独立做标书。</w:t>
      </w:r>
    </w:p>
    <w:p w14:paraId="6F9937BE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（三）标书封面须有以下内容</w:t>
      </w:r>
    </w:p>
    <w:p w14:paraId="2C29C6D0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1.投标公司全称及正本或副本标识</w:t>
      </w:r>
    </w:p>
    <w:p w14:paraId="329E811D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2.投标项目名称（和招标公告中的采购项目一致）</w:t>
      </w:r>
    </w:p>
    <w:p w14:paraId="66E0D983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3.投标公司联系人及联系方式     </w:t>
      </w:r>
    </w:p>
    <w:p w14:paraId="6988DAD6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4.投标日期</w:t>
      </w:r>
    </w:p>
    <w:p w14:paraId="064C637D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（四）标书内需含目录并与页码相对应。</w:t>
      </w:r>
    </w:p>
    <w:p w14:paraId="064E803F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（五）提供原件的需单独密封。投标文件一律不退，请投标方自留底稿。</w:t>
      </w:r>
    </w:p>
    <w:p w14:paraId="061648B9">
      <w:pPr>
        <w:spacing w:line="60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、报名须知</w:t>
      </w:r>
    </w:p>
    <w:p w14:paraId="75C9D2DF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（一）中标价格为税后价格。</w:t>
      </w:r>
    </w:p>
    <w:p w14:paraId="1032E0E5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（二）报名时间：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2026年9月14日-2026年9月18日，上午8：30-11：00，下午13：30-16：00（节假日除外）</w:t>
      </w:r>
      <w:r>
        <w:rPr>
          <w:rFonts w:hint="default" w:ascii="宋体" w:hAnsi="宋体" w:eastAsia="宋体" w:cs="宋体"/>
          <w:sz w:val="28"/>
          <w:szCs w:val="28"/>
          <w:highlight w:val="none"/>
        </w:rPr>
        <w:t>。</w:t>
      </w:r>
    </w:p>
    <w:p w14:paraId="35BB2887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（三）报名方式：大庆市人民医院后勤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药剂科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</w:rPr>
        <w:t>现场报名。</w:t>
      </w:r>
    </w:p>
    <w:p w14:paraId="764122A1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（四）资质审核科室：大庆市人民医院药学部。</w:t>
      </w:r>
    </w:p>
    <w:p w14:paraId="0E44F804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（五）开标时间及地点：另行通知。</w:t>
      </w:r>
    </w:p>
    <w:p w14:paraId="18AF4C4A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（六）投标代表（法人或法人授权人）请在开标时间前半小时携带身份证到达会场签到（签到时查验身份证件）。</w:t>
      </w:r>
    </w:p>
    <w:p w14:paraId="57FE059E">
      <w:pPr>
        <w:spacing w:line="600" w:lineRule="exact"/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、咨询电话：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0459-6612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902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0459-6612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089</w:t>
      </w:r>
    </w:p>
    <w:p w14:paraId="7F6AEA1E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3AB8E0D9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附件</w:t>
      </w: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：中药饮片代煎服务内容及要求</w:t>
      </w:r>
    </w:p>
    <w:tbl>
      <w:tblPr>
        <w:tblStyle w:val="8"/>
        <w:tblW w:w="9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17"/>
        <w:gridCol w:w="5777"/>
        <w:gridCol w:w="1245"/>
      </w:tblGrid>
      <w:tr w14:paraId="0C6B4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CE5EED1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25ED8780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项目</w:t>
            </w:r>
          </w:p>
        </w:tc>
        <w:tc>
          <w:tcPr>
            <w:tcW w:w="5777" w:type="dxa"/>
            <w:vAlign w:val="center"/>
          </w:tcPr>
          <w:p w14:paraId="2A78F5EC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内容及要求</w:t>
            </w:r>
          </w:p>
        </w:tc>
        <w:tc>
          <w:tcPr>
            <w:tcW w:w="1245" w:type="dxa"/>
            <w:vAlign w:val="center"/>
          </w:tcPr>
          <w:p w14:paraId="14578021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备注</w:t>
            </w:r>
          </w:p>
        </w:tc>
      </w:tr>
      <w:tr w14:paraId="71607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588C372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4064907F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服务范围</w:t>
            </w:r>
          </w:p>
        </w:tc>
        <w:tc>
          <w:tcPr>
            <w:tcW w:w="5777" w:type="dxa"/>
            <w:vAlign w:val="top"/>
          </w:tcPr>
          <w:p w14:paraId="599A115F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承担我院中药饮片代煎服务，包括浸泡、煎煮、包装、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复核、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配送等全过程服务，满足临床用药需求。</w:t>
            </w:r>
          </w:p>
        </w:tc>
        <w:tc>
          <w:tcPr>
            <w:tcW w:w="1245" w:type="dxa"/>
            <w:vAlign w:val="top"/>
          </w:tcPr>
          <w:p w14:paraId="34F43729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B691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64B9E0B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6E0C372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执行标准</w:t>
            </w:r>
          </w:p>
        </w:tc>
        <w:tc>
          <w:tcPr>
            <w:tcW w:w="5777" w:type="dxa"/>
            <w:vAlign w:val="top"/>
          </w:tcPr>
          <w:p w14:paraId="23BC5642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中药饮片煎煮应当依据《医疗机构中药煎药室管理规范》执行。</w:t>
            </w:r>
          </w:p>
        </w:tc>
        <w:tc>
          <w:tcPr>
            <w:tcW w:w="1245" w:type="dxa"/>
            <w:vAlign w:val="top"/>
          </w:tcPr>
          <w:p w14:paraId="296E6E34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B691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64B9E0C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66E0C373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协议要求</w:t>
            </w:r>
          </w:p>
        </w:tc>
        <w:tc>
          <w:tcPr>
            <w:tcW w:w="5777" w:type="dxa"/>
            <w:vAlign w:val="top"/>
          </w:tcPr>
          <w:p w14:paraId="23BC5643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与医院签订中药饮片代煎质量保证协议，受托机构对中药饮片代煎质量负直接责任。</w:t>
            </w:r>
          </w:p>
        </w:tc>
        <w:tc>
          <w:tcPr>
            <w:tcW w:w="1245" w:type="dxa"/>
            <w:vAlign w:val="top"/>
          </w:tcPr>
          <w:p w14:paraId="296E6E35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B691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64B9E0D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66E0C374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质量管理</w:t>
            </w:r>
          </w:p>
        </w:tc>
        <w:tc>
          <w:tcPr>
            <w:tcW w:w="5777" w:type="dxa"/>
            <w:vAlign w:val="top"/>
          </w:tcPr>
          <w:p w14:paraId="23BC5644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建立健全中药饮片代煎质量跟踪、追溯、监控体系，强化全过程质量控制管理。</w:t>
            </w:r>
          </w:p>
        </w:tc>
        <w:tc>
          <w:tcPr>
            <w:tcW w:w="1245" w:type="dxa"/>
            <w:vAlign w:val="top"/>
          </w:tcPr>
          <w:p w14:paraId="296E6E36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B691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164B9E0E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66E0C375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监督配合</w:t>
            </w:r>
          </w:p>
        </w:tc>
        <w:tc>
          <w:tcPr>
            <w:tcW w:w="5777" w:type="dxa"/>
            <w:vAlign w:val="top"/>
          </w:tcPr>
          <w:p w14:paraId="23BC5645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接受医院对代煎工作的事前、事中、事后监管，配合医院定期对代煎服务管理情况开展的监督检查和评估，保障中药饮片临床疗效和患者用药安全。</w:t>
            </w:r>
          </w:p>
        </w:tc>
        <w:tc>
          <w:tcPr>
            <w:tcW w:w="1245" w:type="dxa"/>
            <w:vAlign w:val="top"/>
          </w:tcPr>
          <w:p w14:paraId="296E6E37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</w:tbl>
    <w:p w14:paraId="5C7A9358">
      <w:pPr>
        <w:widowControl/>
        <w:shd w:val="clear" w:color="auto" w:fill="FFFFFF"/>
        <w:jc w:val="left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AB9BBB4">
      <w:pPr>
        <w:widowControl/>
        <w:shd w:val="clear" w:color="auto" w:fill="FFFFFF"/>
        <w:jc w:val="left"/>
        <w:rPr>
          <w:rFonts w:hint="default" w:ascii="宋体" w:hAnsi="宋体" w:eastAsia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附件2：评分细则</w:t>
      </w:r>
    </w:p>
    <w:tbl>
      <w:tblPr>
        <w:tblStyle w:val="7"/>
        <w:tblW w:w="10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628"/>
        <w:gridCol w:w="1890"/>
        <w:gridCol w:w="6720"/>
      </w:tblGrid>
      <w:tr w14:paraId="62A6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0C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US" w:eastAsia="zh-CN" w:bidi="ar"/>
              </w:rPr>
              <w:t>准入条件：符合《中华人民共和国政府采购法》第二十二条规定；具备《药品经营许可证》或《医疗机构执业许可证》等相关资质；具备中药饮片煎煮条件和能力，煎煮依据《医疗机构中药煎药室管理规范》执行；不接受联合体投标</w:t>
            </w:r>
          </w:p>
        </w:tc>
      </w:tr>
      <w:tr w14:paraId="3ACDA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A1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报价得分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0F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分</w:t>
            </w:r>
          </w:p>
        </w:tc>
      </w:tr>
      <w:tr w14:paraId="7C06A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7A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商务部分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C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分</w:t>
            </w:r>
          </w:p>
        </w:tc>
      </w:tr>
      <w:tr w14:paraId="5A21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7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技术部分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EA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分</w:t>
            </w:r>
          </w:p>
        </w:tc>
      </w:tr>
      <w:tr w14:paraId="428D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AA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评分因素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D1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C2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方案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F7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内 容</w:t>
            </w:r>
          </w:p>
        </w:tc>
      </w:tr>
      <w:tr w14:paraId="363B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投标报价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价格得分</w:t>
            </w:r>
          </w:p>
          <w:p w14:paraId="10EC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30分)</w:t>
            </w:r>
          </w:p>
        </w:tc>
        <w:tc>
          <w:tcPr>
            <w:tcW w:w="6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4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投标报价得分=(评标基准价/投标报价)×价格分值(注：满足招标文件要求且投标价格最</w:t>
            </w:r>
            <w:r>
              <w:rPr>
                <w:rStyle w:val="12"/>
                <w:rFonts w:hint="eastAsia"/>
                <w:color w:val="FF0000"/>
                <w:sz w:val="24"/>
                <w:szCs w:val="24"/>
                <w:lang w:val="en-US" w:eastAsia="zh-CN" w:bidi="ar"/>
              </w:rPr>
              <w:t>低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的投标报价为评标基准价。)最</w:t>
            </w:r>
            <w:r>
              <w:rPr>
                <w:rStyle w:val="12"/>
                <w:rFonts w:hint="eastAsia"/>
                <w:color w:val="FF0000"/>
                <w:sz w:val="24"/>
                <w:szCs w:val="24"/>
                <w:lang w:val="en-US" w:eastAsia="zh-CN" w:bidi="ar"/>
              </w:rPr>
              <w:t>低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报价不是中标的唯一依据。</w:t>
            </w:r>
          </w:p>
        </w:tc>
      </w:tr>
      <w:tr w14:paraId="375E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7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2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A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24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D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商务部分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 w:bidi="ar"/>
              </w:rPr>
              <w:t>类似项目业绩</w:t>
            </w:r>
          </w:p>
          <w:p w14:paraId="519E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10分)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03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2023年1月1日以来（以合同签订时间为准）承担过医疗机构中药饮片代煎服务类似项目业绩，每提供1个有效业绩得2分，最多得10分。</w:t>
            </w:r>
          </w:p>
          <w:p w14:paraId="19100C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 w:bidi="ar"/>
              </w:rPr>
              <w:t>提供合同或中标（成交）通知书扫描件并加盖公章作为业绩证明，无法体现服务内容或签订时间的不得分。</w:t>
            </w:r>
          </w:p>
        </w:tc>
      </w:tr>
      <w:tr w14:paraId="77281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5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6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人员配置及资质</w:t>
            </w:r>
          </w:p>
          <w:p w14:paraId="2E3A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10分)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691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拟投入本项目的执业中药师每有1名得3分，最多得6分。（证书须在有效期内，并提供本企业为其缴纳社保的证明材料，未提供或不符合要求的不得分）</w:t>
            </w:r>
          </w:p>
          <w:p w14:paraId="3A7AE80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煎药操作人员均持有效健康证，人员清单及岗位职责分工完整，得4分；资料不全的酌情扣分。</w:t>
            </w:r>
          </w:p>
        </w:tc>
      </w:tr>
      <w:tr w14:paraId="5549C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A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9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 w:bidi="ar"/>
              </w:rPr>
              <w:t>质量体系认证</w:t>
            </w:r>
          </w:p>
          <w:p w14:paraId="153B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(10分)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269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具有有效的ISO9001质量管理体系认证证书，得5分；</w:t>
            </w:r>
          </w:p>
          <w:p w14:paraId="7744855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具有其他与药品或食品质量相关的有效管理体系认证（如ISO22000、HACCP等），每提供1项得2.5分，最多得5分。（提供有效期内的证书扫描件并加盖公章，未提供或证书已过期的不得分）</w:t>
            </w:r>
          </w:p>
        </w:tc>
      </w:tr>
      <w:tr w14:paraId="7550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技术部分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整体服务方案</w:t>
            </w:r>
          </w:p>
          <w:p w14:paraId="125C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(20分)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E56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中药代煎全过程（浸泡、煎煮、包装、复核、配送）工作方案完整、可操作性强，得5分，存在缺陷酌情扣分，扣完为止；</w:t>
            </w:r>
          </w:p>
          <w:p w14:paraId="633FC57F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特殊单包药（先煎、后下、包煎、烊化、另煎等）处理方案合理可行，得5分，存在缺陷酌情扣分，扣完为止；</w:t>
            </w:r>
          </w:p>
          <w:p w14:paraId="5A8576F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 w:bidi="ar"/>
              </w:rPr>
              <w:t>配送服务方案完善，配送时效承诺明确（当日16:00接收处方，代煎药液于次日早8:00送达我院指定地点），得5分，存在缺陷酌情扣分，扣完为止；</w:t>
            </w:r>
          </w:p>
          <w:p w14:paraId="5958543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设备维护</w:t>
            </w:r>
          </w:p>
          <w:p w14:paraId="55B06ED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应急预案与问题处理机制健全、响应及时，得5分，存在缺陷酌情扣分，扣完为止。</w:t>
            </w:r>
          </w:p>
        </w:tc>
      </w:tr>
      <w:tr w14:paraId="54A8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8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C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质量控制方案</w:t>
            </w:r>
          </w:p>
          <w:p w14:paraId="54DE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10分)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16C7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代煎药液装量精度过程控制措施具体、可核查，得2.5分，存在缺陷酌情扣分，扣完为止；</w:t>
            </w:r>
          </w:p>
          <w:p w14:paraId="3EC4B6BB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特殊单包药的分装配送过程全程温控措施完善，得2.5分，存在缺陷酌情扣分，扣完为止；</w:t>
            </w:r>
          </w:p>
          <w:p w14:paraId="246D08A7">
            <w:pPr>
              <w:numPr>
                <w:ilvl w:val="0"/>
                <w:numId w:val="6"/>
              </w:numPr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煎药中心各功能区物理分隔合理、布局清晰，得2.5分，存在缺陷酌情扣分，扣完为止；</w:t>
            </w:r>
          </w:p>
          <w:p w14:paraId="33BB0320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 w:bidi="ar"/>
              </w:rPr>
              <w:t>煎药间视频监控覆盖煎煮操作全过程，监控录像留存备查并接受医院随时调阅，得2.5分，存在缺陷酌情扣分，扣完为止。</w:t>
            </w:r>
          </w:p>
        </w:tc>
      </w:tr>
      <w:tr w14:paraId="0EF7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F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9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2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服务承诺方案</w:t>
            </w:r>
          </w:p>
          <w:p w14:paraId="1C5E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/>
                <w:sz w:val="24"/>
                <w:szCs w:val="24"/>
                <w:lang w:val="en-US" w:eastAsia="zh-CN" w:bidi="ar"/>
              </w:rPr>
              <w:t>10分)</w:t>
            </w:r>
          </w:p>
        </w:tc>
        <w:tc>
          <w:tcPr>
            <w:tcW w:w="6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1E4E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针对本项目的服务承诺（代煎药液于次日早8:00送达我院指定地点的送达承诺及保障措施、为医院提供的其他增值服务承诺）</w:t>
            </w:r>
          </w:p>
          <w:p w14:paraId="3C2916B5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评审标准：每项承诺内容全面详细、阐述条理清晰、符合本项目实际得5分，满分10分；每项存在一处缺陷，</w:t>
            </w:r>
            <w:r>
              <w:rPr>
                <w:rStyle w:val="12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扣2分，扣完为止。(缺陷是指：内容描述过于简单、条理不清晰、与项目内容不匹配、凭空编造、出现常识性错误、不可能实现的夸大情形、存在不适用项目实际情况的情形等)</w:t>
            </w:r>
          </w:p>
        </w:tc>
      </w:tr>
    </w:tbl>
    <w:p w14:paraId="08A7A24C"/>
    <w:p w14:paraId="64BFB201">
      <w:pPr>
        <w:pStyle w:val="6"/>
        <w:rPr>
          <w:rFonts w:hint="eastAsia"/>
        </w:rPr>
      </w:pPr>
    </w:p>
    <w:p w14:paraId="2DC5E3F2">
      <w:pPr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BF7A392"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大庆市人民医院</w:t>
      </w:r>
    </w:p>
    <w:p w14:paraId="1AC6EB5F">
      <w:pPr>
        <w:spacing w:line="600" w:lineRule="exact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1134" w:right="1531" w:bottom="113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CD48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C49EB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C49EB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6D89DB"/>
    <w:multiLevelType w:val="singleLevel"/>
    <w:tmpl w:val="AE6D89D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1">
    <w:nsid w:val="D7CB11FE"/>
    <w:multiLevelType w:val="singleLevel"/>
    <w:tmpl w:val="D7CB11F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2">
    <w:nsid w:val="F2A0F62C"/>
    <w:multiLevelType w:val="singleLevel"/>
    <w:tmpl w:val="F2A0F62C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672" w:hanging="336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ind w:left="1008" w:hanging="336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344" w:hanging="336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1680" w:hanging="336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ind w:left="2016" w:hanging="336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352" w:hanging="336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688" w:hanging="336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024" w:hanging="336"/>
      </w:pPr>
      <w:rPr>
        <w:rFonts w:hint="default"/>
      </w:rPr>
    </w:lvl>
  </w:abstractNum>
  <w:abstractNum w:abstractNumId="4">
    <w:nsid w:val="1195D88F"/>
    <w:multiLevelType w:val="singleLevel"/>
    <w:tmpl w:val="1195D88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5">
    <w:nsid w:val="11F3BAD5"/>
    <w:multiLevelType w:val="singleLevel"/>
    <w:tmpl w:val="11F3BAD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abstractNum w:abstractNumId="6">
    <w:nsid w:val="1A8FA88E"/>
    <w:multiLevelType w:val="singleLevel"/>
    <w:tmpl w:val="1A8FA8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42"/>
    <w:rsid w:val="000E28BF"/>
    <w:rsid w:val="003A389F"/>
    <w:rsid w:val="00612D52"/>
    <w:rsid w:val="008311BA"/>
    <w:rsid w:val="00A43142"/>
    <w:rsid w:val="00A46ADA"/>
    <w:rsid w:val="00FD05EF"/>
    <w:rsid w:val="026C0394"/>
    <w:rsid w:val="04877D5D"/>
    <w:rsid w:val="051F2BD6"/>
    <w:rsid w:val="05D40077"/>
    <w:rsid w:val="06172848"/>
    <w:rsid w:val="06902C4A"/>
    <w:rsid w:val="06BA0ABE"/>
    <w:rsid w:val="07DB63B0"/>
    <w:rsid w:val="0A31510B"/>
    <w:rsid w:val="0B7966B5"/>
    <w:rsid w:val="0D146F8F"/>
    <w:rsid w:val="0E0A64B9"/>
    <w:rsid w:val="0E3D1FAE"/>
    <w:rsid w:val="0E696934"/>
    <w:rsid w:val="0EC0157E"/>
    <w:rsid w:val="0EC91E2E"/>
    <w:rsid w:val="0EDC775A"/>
    <w:rsid w:val="0F58695C"/>
    <w:rsid w:val="105F79B5"/>
    <w:rsid w:val="113C1988"/>
    <w:rsid w:val="117F421B"/>
    <w:rsid w:val="126D42E3"/>
    <w:rsid w:val="15775F29"/>
    <w:rsid w:val="18D6073B"/>
    <w:rsid w:val="18D92F11"/>
    <w:rsid w:val="1A3B6369"/>
    <w:rsid w:val="1ACD15AE"/>
    <w:rsid w:val="1AD37D7B"/>
    <w:rsid w:val="1B277FC1"/>
    <w:rsid w:val="1CBE0FDE"/>
    <w:rsid w:val="1CCE2559"/>
    <w:rsid w:val="1D304ACA"/>
    <w:rsid w:val="1D32154C"/>
    <w:rsid w:val="1DE00BEE"/>
    <w:rsid w:val="1F7533CD"/>
    <w:rsid w:val="1F8C39C5"/>
    <w:rsid w:val="1FC4189B"/>
    <w:rsid w:val="20F20285"/>
    <w:rsid w:val="215045E0"/>
    <w:rsid w:val="21635BE3"/>
    <w:rsid w:val="21E143E0"/>
    <w:rsid w:val="22195E6A"/>
    <w:rsid w:val="22833A26"/>
    <w:rsid w:val="22B54B2F"/>
    <w:rsid w:val="22D516BD"/>
    <w:rsid w:val="22F949EF"/>
    <w:rsid w:val="25FE5EF0"/>
    <w:rsid w:val="26AC4B37"/>
    <w:rsid w:val="28E43F0E"/>
    <w:rsid w:val="299F2DDF"/>
    <w:rsid w:val="2CA500BF"/>
    <w:rsid w:val="2EB80C80"/>
    <w:rsid w:val="2F850B95"/>
    <w:rsid w:val="30A448C1"/>
    <w:rsid w:val="30EF4823"/>
    <w:rsid w:val="322A54F6"/>
    <w:rsid w:val="340E6E4C"/>
    <w:rsid w:val="3464106C"/>
    <w:rsid w:val="35C7305B"/>
    <w:rsid w:val="36901276"/>
    <w:rsid w:val="37DD72C7"/>
    <w:rsid w:val="38C5449E"/>
    <w:rsid w:val="3B7F5318"/>
    <w:rsid w:val="3C533D70"/>
    <w:rsid w:val="3CA24C4A"/>
    <w:rsid w:val="3E6E56AF"/>
    <w:rsid w:val="3F324934"/>
    <w:rsid w:val="415E73AF"/>
    <w:rsid w:val="418A73D8"/>
    <w:rsid w:val="41E53E7C"/>
    <w:rsid w:val="452260CD"/>
    <w:rsid w:val="455117F8"/>
    <w:rsid w:val="45C0389C"/>
    <w:rsid w:val="466C02D6"/>
    <w:rsid w:val="4695612A"/>
    <w:rsid w:val="469B271B"/>
    <w:rsid w:val="469F34AE"/>
    <w:rsid w:val="47B60402"/>
    <w:rsid w:val="497651A0"/>
    <w:rsid w:val="49ED7D72"/>
    <w:rsid w:val="4A932E8C"/>
    <w:rsid w:val="4B186D8D"/>
    <w:rsid w:val="4B4862A7"/>
    <w:rsid w:val="4BF15669"/>
    <w:rsid w:val="4D227ECE"/>
    <w:rsid w:val="53796928"/>
    <w:rsid w:val="549A0543"/>
    <w:rsid w:val="55776678"/>
    <w:rsid w:val="55BB1494"/>
    <w:rsid w:val="571E7AF3"/>
    <w:rsid w:val="57F542D3"/>
    <w:rsid w:val="58416E9A"/>
    <w:rsid w:val="58D775FE"/>
    <w:rsid w:val="5D3B7A6E"/>
    <w:rsid w:val="5E275A1D"/>
    <w:rsid w:val="5E992FF8"/>
    <w:rsid w:val="5FDC49A4"/>
    <w:rsid w:val="60AC577E"/>
    <w:rsid w:val="60CF5E11"/>
    <w:rsid w:val="61DF07AD"/>
    <w:rsid w:val="61E04DF7"/>
    <w:rsid w:val="62060A4D"/>
    <w:rsid w:val="62FD78AF"/>
    <w:rsid w:val="63363A8F"/>
    <w:rsid w:val="6550694F"/>
    <w:rsid w:val="65583C9E"/>
    <w:rsid w:val="65A9178E"/>
    <w:rsid w:val="661F13AE"/>
    <w:rsid w:val="66F10596"/>
    <w:rsid w:val="66F83D28"/>
    <w:rsid w:val="67FE1098"/>
    <w:rsid w:val="684B4979"/>
    <w:rsid w:val="6A5F46C4"/>
    <w:rsid w:val="6B4E04C6"/>
    <w:rsid w:val="6B741A64"/>
    <w:rsid w:val="6C26494D"/>
    <w:rsid w:val="6C4760A8"/>
    <w:rsid w:val="6D9B120F"/>
    <w:rsid w:val="6F7863DE"/>
    <w:rsid w:val="7060014F"/>
    <w:rsid w:val="70C16302"/>
    <w:rsid w:val="71E41DB3"/>
    <w:rsid w:val="74F34C08"/>
    <w:rsid w:val="75703207"/>
    <w:rsid w:val="75F96615"/>
    <w:rsid w:val="762D57CC"/>
    <w:rsid w:val="765C2E58"/>
    <w:rsid w:val="766803CD"/>
    <w:rsid w:val="76D06103"/>
    <w:rsid w:val="76D300E1"/>
    <w:rsid w:val="77A4697E"/>
    <w:rsid w:val="77C13880"/>
    <w:rsid w:val="7A926C90"/>
    <w:rsid w:val="7B7B0DCB"/>
    <w:rsid w:val="7FF63E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3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paragraph" w:customStyle="1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font21"/>
    <w:basedOn w:val="9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2975</Words>
  <Characters>3118</Characters>
  <Lines>10</Lines>
  <Paragraphs>3</Paragraphs>
  <TotalTime>6</TotalTime>
  <ScaleCrop>false</ScaleCrop>
  <LinksUpToDate>false</LinksUpToDate>
  <CharactersWithSpaces>3214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ztb</cp:lastModifiedBy>
  <cp:lastPrinted>2026-08-05T01:15:00Z</cp:lastPrinted>
  <dcterms:modified xsi:type="dcterms:W3CDTF">2026-09-13T06:04:00Z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B3C101B40A0646B6B90409DEFE68DABC_13</vt:lpwstr>
  </property>
  <property fmtid="{D5CDD505-2E9C-101B-9397-08002B2CF9AE}" pid="4" name="KSOTemplateDocerSaveRecord">
    <vt:lpwstr>eyJoZGlkIjoiOWUyODdjMzQxMjk5MjdjYjFiYmIyNjYyZjIyYTY0M2EiLCJ1c2VySWQiOiIxMjQyNjg5MDUwIn0=</vt:lpwstr>
  </property>
</Properties>
</file>